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Pr="00BB035C" w:rsidRDefault="00892DC5" w:rsidP="00892DC5">
      <w:pPr>
        <w:pStyle w:val="NoSpacing"/>
        <w:rPr>
          <w:b/>
        </w:rPr>
      </w:pPr>
      <w:r>
        <w:t>The T</w:t>
      </w:r>
      <w:r w:rsidR="00083A01">
        <w:t>abor City Council met in regular</w:t>
      </w:r>
      <w:r>
        <w:t xml:space="preserve"> session </w:t>
      </w:r>
      <w:r w:rsidR="009B4735">
        <w:rPr>
          <w:b/>
        </w:rPr>
        <w:t>on December 5</w:t>
      </w:r>
      <w:r w:rsidR="00451A2E">
        <w:rPr>
          <w:b/>
        </w:rPr>
        <w:t>,</w:t>
      </w:r>
      <w:r w:rsidR="001706B7">
        <w:rPr>
          <w:b/>
        </w:rPr>
        <w:t xml:space="preserve"> </w:t>
      </w:r>
      <w:r w:rsidR="00451A2E">
        <w:rPr>
          <w:b/>
        </w:rPr>
        <w:t>2018</w:t>
      </w:r>
      <w:bookmarkStart w:id="0" w:name="_GoBack"/>
      <w:bookmarkEnd w:id="0"/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E23C3A">
        <w:t>at 6:0</w:t>
      </w:r>
      <w:r w:rsidR="004B0242">
        <w:t>2</w:t>
      </w:r>
      <w:r w:rsidR="009B4735">
        <w:t xml:space="preserve"> 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5313D8">
        <w:t xml:space="preserve"> </w:t>
      </w:r>
      <w:r w:rsidR="00E4164B">
        <w:t xml:space="preserve">Wirth, </w:t>
      </w:r>
      <w:r w:rsidR="00E23C3A">
        <w:t>Williams</w:t>
      </w:r>
      <w:r w:rsidR="005C7379">
        <w:t>, Silcock</w:t>
      </w:r>
      <w:r w:rsidR="00954E8E">
        <w:t xml:space="preserve"> </w:t>
      </w:r>
      <w:r w:rsidR="009A02B6">
        <w:t>and Bartho</w:t>
      </w:r>
      <w:r w:rsidR="005313D8">
        <w:t>lomew,</w:t>
      </w:r>
      <w:r w:rsidR="009A02B6">
        <w:t xml:space="preserve"> City Clerk Mary King-Bateman</w:t>
      </w:r>
      <w:r w:rsidR="00084EB9">
        <w:t>. City employees</w:t>
      </w:r>
      <w:r w:rsidR="009B4735">
        <w:t xml:space="preserve"> Superintendent Ted Hill,</w:t>
      </w:r>
      <w:r w:rsidR="004B0242">
        <w:t xml:space="preserve"> </w:t>
      </w:r>
      <w:r w:rsidR="00954E8E" w:rsidRPr="00954E8E">
        <w:t>Assistant Superintendent Wes Hill</w:t>
      </w:r>
      <w:r w:rsidR="009B4735">
        <w:t>, Chief Derek Aistrope.</w:t>
      </w:r>
    </w:p>
    <w:p w:rsidR="00892DC5" w:rsidRDefault="00892DC5" w:rsidP="00892DC5">
      <w:pPr>
        <w:pStyle w:val="NoSpacing"/>
      </w:pPr>
    </w:p>
    <w:p w:rsidR="00FB7482" w:rsidRDefault="00E4164B" w:rsidP="00892DC5">
      <w:pPr>
        <w:pStyle w:val="NoSpacing"/>
      </w:pPr>
      <w:r>
        <w:t>Consent A</w:t>
      </w:r>
      <w:r w:rsidR="00904DC4">
        <w:t>genda,</w:t>
      </w:r>
      <w:r w:rsidR="004B0242">
        <w:t xml:space="preserve"> November</w:t>
      </w:r>
      <w:r w:rsidR="006769AF">
        <w:t xml:space="preserve"> Minutes</w:t>
      </w:r>
      <w:r w:rsidR="009729DC">
        <w:t xml:space="preserve"> as amended</w:t>
      </w:r>
      <w:r w:rsidR="006769AF">
        <w:t xml:space="preserve">, </w:t>
      </w:r>
      <w:r w:rsidR="009729DC">
        <w:t>financial reports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B4735">
        <w:t xml:space="preserve"> Wirth</w:t>
      </w:r>
      <w:r w:rsidR="002A1CEF">
        <w:t>, seconded by</w:t>
      </w:r>
      <w:r w:rsidR="00D05004">
        <w:t xml:space="preserve"> </w:t>
      </w:r>
      <w:r w:rsidR="009B4735">
        <w:t>Bartholomew</w:t>
      </w:r>
      <w:r w:rsidR="00D05004">
        <w:t>. All Ayes.</w:t>
      </w:r>
    </w:p>
    <w:p w:rsidR="00892DC5" w:rsidRDefault="00D05004" w:rsidP="00892DC5">
      <w:pPr>
        <w:pStyle w:val="NoSpacing"/>
      </w:pPr>
      <w:r>
        <w:t xml:space="preserve"> </w:t>
      </w:r>
      <w:r w:rsidR="004B0242">
        <w:t xml:space="preserve"> </w:t>
      </w:r>
    </w:p>
    <w:p w:rsidR="00FB7482" w:rsidRDefault="009B4735" w:rsidP="00892DC5">
      <w:pPr>
        <w:pStyle w:val="NoSpacing"/>
      </w:pPr>
      <w:r>
        <w:t>Motion</w:t>
      </w:r>
      <w:r w:rsidR="000831F4">
        <w:t xml:space="preserve"> </w:t>
      </w:r>
      <w:r w:rsidR="004A7FEE">
        <w:t>by Silcock</w:t>
      </w:r>
      <w:r w:rsidR="000831F4">
        <w:t>, seconded by Bartholomew</w:t>
      </w:r>
      <w:r>
        <w:t xml:space="preserve"> to approve liquor license renewals pending application completion and approval by Alcohol Beverage Division for the following businesses.</w:t>
      </w:r>
    </w:p>
    <w:p w:rsidR="009B4735" w:rsidRDefault="009B4735" w:rsidP="00892DC5">
      <w:pPr>
        <w:pStyle w:val="NoSpacing"/>
      </w:pPr>
      <w:r>
        <w:t>Casey’s General Store</w:t>
      </w:r>
    </w:p>
    <w:p w:rsidR="009B4735" w:rsidRDefault="009B4735" w:rsidP="00892DC5">
      <w:pPr>
        <w:pStyle w:val="NoSpacing"/>
      </w:pPr>
      <w:r>
        <w:t>Tabor Floral and Gifts</w:t>
      </w:r>
    </w:p>
    <w:p w:rsidR="009B4735" w:rsidRDefault="009B4735" w:rsidP="00892DC5">
      <w:pPr>
        <w:pStyle w:val="NoSpacing"/>
      </w:pPr>
      <w:r>
        <w:t>Tabor Grocery</w:t>
      </w:r>
    </w:p>
    <w:p w:rsidR="000831F4" w:rsidRDefault="000831F4" w:rsidP="00892DC5">
      <w:pPr>
        <w:pStyle w:val="NoSpacing"/>
      </w:pPr>
      <w:r>
        <w:t xml:space="preserve">Motion carried. </w:t>
      </w:r>
      <w:r w:rsidRPr="000831F4">
        <w:t xml:space="preserve">Ayes: </w:t>
      </w:r>
      <w:r w:rsidR="009B0E64">
        <w:t>4</w:t>
      </w:r>
      <w:r w:rsidRPr="000831F4">
        <w:t xml:space="preserve"> Nays: 0</w:t>
      </w:r>
    </w:p>
    <w:p w:rsidR="000831F4" w:rsidRDefault="000831F4" w:rsidP="00892DC5">
      <w:pPr>
        <w:pStyle w:val="NoSpacing"/>
      </w:pPr>
    </w:p>
    <w:p w:rsidR="000831F4" w:rsidRDefault="000831F4" w:rsidP="00892DC5">
      <w:pPr>
        <w:pStyle w:val="NoSpacing"/>
      </w:pPr>
      <w:r>
        <w:t xml:space="preserve">Motion by Silcock, seconded by Wirth to approve the Landfill Ordinance. Adoption of ordinance in final codification. </w:t>
      </w:r>
      <w:r w:rsidR="009B0E64" w:rsidRPr="009B0E64">
        <w:t>Motion carried. Ayes: 4 Nays: 0</w:t>
      </w:r>
    </w:p>
    <w:p w:rsidR="009B0E64" w:rsidRDefault="009B0E64" w:rsidP="00892DC5">
      <w:pPr>
        <w:pStyle w:val="NoSpacing"/>
      </w:pPr>
    </w:p>
    <w:p w:rsidR="009B0E64" w:rsidRDefault="009B0E64" w:rsidP="00892DC5">
      <w:pPr>
        <w:pStyle w:val="NoSpacing"/>
      </w:pPr>
      <w:r>
        <w:t>Motion by Williams, seconded by Wirth to allow Wes Hill to use and operate the locator for the City of Thurman</w:t>
      </w:r>
      <w:r w:rsidR="00531D34">
        <w:t xml:space="preserve"> during off duty hours from</w:t>
      </w:r>
      <w:r w:rsidR="00BB4FB1">
        <w:t xml:space="preserve"> the City of Tabor</w:t>
      </w:r>
      <w:r>
        <w:t xml:space="preserve"> at the rate of $10.00 a day.  </w:t>
      </w:r>
      <w:r w:rsidRPr="009B0E64">
        <w:t>Motion carried. Ayes: 4 Nays: 0</w:t>
      </w:r>
    </w:p>
    <w:p w:rsidR="009B0E64" w:rsidRDefault="009B0E64" w:rsidP="00892DC5">
      <w:pPr>
        <w:pStyle w:val="NoSpacing"/>
      </w:pPr>
    </w:p>
    <w:p w:rsidR="009B0E64" w:rsidRDefault="009B0E64" w:rsidP="00892DC5">
      <w:pPr>
        <w:pStyle w:val="NoSpacing"/>
      </w:pPr>
      <w:r>
        <w:t>No updates for the VFW Memorial.</w:t>
      </w:r>
    </w:p>
    <w:p w:rsidR="009B0E64" w:rsidRDefault="009B0E64" w:rsidP="00892DC5">
      <w:pPr>
        <w:pStyle w:val="NoSpacing"/>
      </w:pPr>
    </w:p>
    <w:p w:rsidR="009B0E64" w:rsidRDefault="009B0E64" w:rsidP="00892DC5">
      <w:pPr>
        <w:pStyle w:val="NoSpacing"/>
      </w:pPr>
      <w:r w:rsidRPr="009B0E64">
        <w:t>Susan Shepherd discussed details of the new social center on Main Street.</w:t>
      </w:r>
    </w:p>
    <w:p w:rsidR="009B0E64" w:rsidRDefault="009B0E64" w:rsidP="00892DC5">
      <w:pPr>
        <w:pStyle w:val="NoSpacing"/>
      </w:pPr>
    </w:p>
    <w:p w:rsidR="009B0E64" w:rsidRDefault="00DA2F60" w:rsidP="00892DC5">
      <w:pPr>
        <w:pStyle w:val="NoSpacing"/>
      </w:pPr>
      <w:r>
        <w:t>Renewal of</w:t>
      </w:r>
      <w:r w:rsidR="009B0E64">
        <w:t xml:space="preserve"> the City of Tabor </w:t>
      </w:r>
      <w:r>
        <w:t xml:space="preserve">employee </w:t>
      </w:r>
      <w:r w:rsidR="009B0E64">
        <w:t>health insurance plan is pending further research.</w:t>
      </w:r>
    </w:p>
    <w:p w:rsidR="00DA2F60" w:rsidRDefault="00DA2F60" w:rsidP="00892DC5">
      <w:pPr>
        <w:pStyle w:val="NoSpacing"/>
      </w:pPr>
    </w:p>
    <w:p w:rsidR="009B0E64" w:rsidRDefault="00BB4FB1" w:rsidP="00892DC5">
      <w:pPr>
        <w:pStyle w:val="NoSpacing"/>
      </w:pPr>
      <w:r>
        <w:t>The</w:t>
      </w:r>
      <w:r w:rsidR="009B0E64">
        <w:t xml:space="preserve"> status of </w:t>
      </w:r>
      <w:r w:rsidR="00DA2F60">
        <w:t>the brick</w:t>
      </w:r>
      <w:r w:rsidR="009B0E64">
        <w:t xml:space="preserve"> portion of C</w:t>
      </w:r>
      <w:r w:rsidR="00DA2F60">
        <w:t xml:space="preserve">enter Street repair project was discussed and decided to present a new updated quote and check fund </w:t>
      </w:r>
      <w:r>
        <w:t>availability at the January council meeting.</w:t>
      </w:r>
      <w:r w:rsidR="00DA2F60">
        <w:t xml:space="preserve"> </w:t>
      </w:r>
    </w:p>
    <w:p w:rsidR="00BB4FB1" w:rsidRDefault="00BB4FB1" w:rsidP="00892DC5">
      <w:pPr>
        <w:pStyle w:val="NoSpacing"/>
      </w:pPr>
    </w:p>
    <w:p w:rsidR="00BB4FB1" w:rsidRDefault="00BB4FB1" w:rsidP="00892DC5">
      <w:pPr>
        <w:pStyle w:val="NoSpacing"/>
      </w:pPr>
      <w:r>
        <w:t xml:space="preserve">Thank you Rod and Jennifer Williams for donating </w:t>
      </w:r>
      <w:r w:rsidR="00531D34">
        <w:t xml:space="preserve">to the city </w:t>
      </w:r>
      <w:r>
        <w:t>three canvas reproductions of histori</w:t>
      </w:r>
      <w:r w:rsidR="00531D34">
        <w:t>cal photos of Tabor!</w:t>
      </w:r>
    </w:p>
    <w:p w:rsidR="00BB4FB1" w:rsidRDefault="00BB4FB1" w:rsidP="00892DC5">
      <w:pPr>
        <w:pStyle w:val="NoSpacing"/>
      </w:pPr>
    </w:p>
    <w:p w:rsidR="00BB4FB1" w:rsidRDefault="00BB4FB1" w:rsidP="00892DC5">
      <w:pPr>
        <w:pStyle w:val="NoSpacing"/>
      </w:pPr>
      <w:r>
        <w:t>The 2018 Tabor Holiday Festival was a huge success! Mayor Switzer and the Tabor City Council appreciates the hard work from everyone involved! Great job!</w:t>
      </w:r>
    </w:p>
    <w:p w:rsidR="00097E1C" w:rsidRDefault="00097E1C" w:rsidP="00043115">
      <w:pPr>
        <w:pStyle w:val="NoSpacing"/>
      </w:pPr>
    </w:p>
    <w:p w:rsidR="00B3464E" w:rsidRDefault="00A0272A" w:rsidP="00043115">
      <w:pPr>
        <w:pStyle w:val="NoSpacing"/>
      </w:pPr>
      <w:r>
        <w:t xml:space="preserve">Meeting adjourned </w:t>
      </w:r>
      <w:r w:rsidR="00784BF3">
        <w:t>at 8</w:t>
      </w:r>
      <w:r w:rsidR="006769AF">
        <w:t>:</w:t>
      </w:r>
      <w:r w:rsidR="00BB4FB1">
        <w:t>00</w:t>
      </w:r>
      <w:r w:rsidR="004813DC">
        <w:t xml:space="preserve"> p.m., mot</w:t>
      </w:r>
      <w:r w:rsidR="001E6493">
        <w:t>io</w:t>
      </w:r>
      <w:r w:rsidR="009659AA">
        <w:t>n b</w:t>
      </w:r>
      <w:r w:rsidR="00EF011D">
        <w:t>y Wirth</w:t>
      </w:r>
      <w:r w:rsidR="00C96A66">
        <w:t xml:space="preserve">, second by </w:t>
      </w:r>
      <w:r w:rsidR="00BB4FB1">
        <w:t>Silcock</w:t>
      </w:r>
      <w:r w:rsidR="002E7C8B"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BB4FB1">
        <w:t>12/05/2018</w:t>
      </w:r>
    </w:p>
    <w:p w:rsidR="00311DC5" w:rsidRDefault="00311DC5" w:rsidP="009C4BF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960"/>
      </w:tblGrid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CLAIMS REPORT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ALLIANZ LIFE INS CO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58.33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AMAZON        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783.91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B&amp;T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184.53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BEACON ENTERPRISE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270.15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BHE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258.29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CBWW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50.00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DATA TECH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3915.04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DAWN MILLER   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265.30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EMS BILLING SVC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980.55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IRS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4379.34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FIRST NATL BANK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549.88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lastRenderedPageBreak/>
              <w:t>GSB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4474.00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IPI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536.60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IOWA RURAL WATER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275.00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IPERS         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4279.51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KEYSTONE LABS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100.50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LINCOLN NATL LIFE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277.50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LYMAN RICHEY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490.68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MENARDS       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1482.72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MODERN WOODMAN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447.06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NISHNA INSURANCE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84.00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OFFICE OF AUDITOR OF STATE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175.00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POST OFFICE   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137.20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RAINBOW FIREWORKS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597.00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RICHARDSON SANIT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398.00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TABOR GROCERY 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14.66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UPS           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40.33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WELLMARK      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6594.75</w:t>
            </w:r>
          </w:p>
        </w:tc>
      </w:tr>
      <w:tr w:rsidR="004A7FEE" w:rsidRPr="004A7FEE" w:rsidTr="004A7FEE">
        <w:trPr>
          <w:trHeight w:val="300"/>
        </w:trPr>
        <w:tc>
          <w:tcPr>
            <w:tcW w:w="284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 xml:space="preserve">WEX BANK                      </w:t>
            </w:r>
          </w:p>
        </w:tc>
        <w:tc>
          <w:tcPr>
            <w:tcW w:w="960" w:type="dxa"/>
            <w:noWrap/>
            <w:hideMark/>
          </w:tcPr>
          <w:p w:rsidR="004A7FEE" w:rsidRPr="004A7FEE" w:rsidRDefault="004A7FEE" w:rsidP="004A7FEE">
            <w:pPr>
              <w:pStyle w:val="NoSpacing"/>
            </w:pPr>
            <w:r w:rsidRPr="004A7FEE">
              <w:t>796.94</w:t>
            </w:r>
          </w:p>
        </w:tc>
      </w:tr>
    </w:tbl>
    <w:p w:rsidR="00D12786" w:rsidRDefault="00D12786" w:rsidP="009C4BF4">
      <w:pPr>
        <w:pStyle w:val="NoSpacing"/>
      </w:pPr>
    </w:p>
    <w:sectPr w:rsidR="00D12786" w:rsidSect="00C1067A">
      <w:pgSz w:w="12240" w:h="15840" w:code="1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30" w:rsidRDefault="00B41630" w:rsidP="006167A6">
      <w:pPr>
        <w:spacing w:after="0" w:line="240" w:lineRule="auto"/>
      </w:pPr>
      <w:r>
        <w:separator/>
      </w:r>
    </w:p>
  </w:endnote>
  <w:end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30" w:rsidRDefault="00B41630" w:rsidP="006167A6">
      <w:pPr>
        <w:spacing w:after="0" w:line="240" w:lineRule="auto"/>
      </w:pPr>
      <w:r>
        <w:separator/>
      </w:r>
    </w:p>
  </w:footnote>
  <w:foot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7BCB"/>
    <w:rsid w:val="00043115"/>
    <w:rsid w:val="000479EE"/>
    <w:rsid w:val="00062182"/>
    <w:rsid w:val="000661C8"/>
    <w:rsid w:val="000831F4"/>
    <w:rsid w:val="00083A01"/>
    <w:rsid w:val="00084EB9"/>
    <w:rsid w:val="00097E1C"/>
    <w:rsid w:val="000C2C54"/>
    <w:rsid w:val="000F481B"/>
    <w:rsid w:val="00100F9C"/>
    <w:rsid w:val="00103C69"/>
    <w:rsid w:val="00124DFF"/>
    <w:rsid w:val="00133800"/>
    <w:rsid w:val="00151E5C"/>
    <w:rsid w:val="00165392"/>
    <w:rsid w:val="001706B7"/>
    <w:rsid w:val="00176879"/>
    <w:rsid w:val="00194290"/>
    <w:rsid w:val="001B643A"/>
    <w:rsid w:val="001D2838"/>
    <w:rsid w:val="001E19D0"/>
    <w:rsid w:val="001E27CF"/>
    <w:rsid w:val="001E6493"/>
    <w:rsid w:val="002820BB"/>
    <w:rsid w:val="00293488"/>
    <w:rsid w:val="00296888"/>
    <w:rsid w:val="002A1CEF"/>
    <w:rsid w:val="002C12B5"/>
    <w:rsid w:val="002E7C8B"/>
    <w:rsid w:val="0030373F"/>
    <w:rsid w:val="00305DDC"/>
    <w:rsid w:val="00311DC5"/>
    <w:rsid w:val="00323CCF"/>
    <w:rsid w:val="00327EB5"/>
    <w:rsid w:val="00334486"/>
    <w:rsid w:val="003467FB"/>
    <w:rsid w:val="00362828"/>
    <w:rsid w:val="003859D3"/>
    <w:rsid w:val="00391349"/>
    <w:rsid w:val="003B06C6"/>
    <w:rsid w:val="003D20F9"/>
    <w:rsid w:val="00417F92"/>
    <w:rsid w:val="0043058C"/>
    <w:rsid w:val="00435DED"/>
    <w:rsid w:val="00441930"/>
    <w:rsid w:val="00451A2E"/>
    <w:rsid w:val="0047119F"/>
    <w:rsid w:val="004813DC"/>
    <w:rsid w:val="00481A55"/>
    <w:rsid w:val="004873D2"/>
    <w:rsid w:val="00491072"/>
    <w:rsid w:val="00495D0D"/>
    <w:rsid w:val="004A3085"/>
    <w:rsid w:val="004A7FEE"/>
    <w:rsid w:val="004B0242"/>
    <w:rsid w:val="00501358"/>
    <w:rsid w:val="00521FD9"/>
    <w:rsid w:val="005257AB"/>
    <w:rsid w:val="00526839"/>
    <w:rsid w:val="005313D8"/>
    <w:rsid w:val="00531D34"/>
    <w:rsid w:val="00542643"/>
    <w:rsid w:val="005455ED"/>
    <w:rsid w:val="005A5190"/>
    <w:rsid w:val="005C7379"/>
    <w:rsid w:val="005D1C00"/>
    <w:rsid w:val="005E4646"/>
    <w:rsid w:val="005F5B03"/>
    <w:rsid w:val="00602716"/>
    <w:rsid w:val="0061281A"/>
    <w:rsid w:val="006167A6"/>
    <w:rsid w:val="0066285B"/>
    <w:rsid w:val="00673D60"/>
    <w:rsid w:val="00675942"/>
    <w:rsid w:val="006769AF"/>
    <w:rsid w:val="006861A0"/>
    <w:rsid w:val="006943C9"/>
    <w:rsid w:val="006A6524"/>
    <w:rsid w:val="006B16DF"/>
    <w:rsid w:val="006B1C06"/>
    <w:rsid w:val="006C26A7"/>
    <w:rsid w:val="006E3A01"/>
    <w:rsid w:val="006E62F4"/>
    <w:rsid w:val="006F14E1"/>
    <w:rsid w:val="00703329"/>
    <w:rsid w:val="00727E1E"/>
    <w:rsid w:val="00730B21"/>
    <w:rsid w:val="007529D1"/>
    <w:rsid w:val="00753541"/>
    <w:rsid w:val="00784BF3"/>
    <w:rsid w:val="007A0F00"/>
    <w:rsid w:val="007A0F11"/>
    <w:rsid w:val="007B63FF"/>
    <w:rsid w:val="007C374F"/>
    <w:rsid w:val="007F2975"/>
    <w:rsid w:val="00803D64"/>
    <w:rsid w:val="0081184A"/>
    <w:rsid w:val="0083373F"/>
    <w:rsid w:val="008574AB"/>
    <w:rsid w:val="00892DC5"/>
    <w:rsid w:val="008C0AC8"/>
    <w:rsid w:val="00904DC4"/>
    <w:rsid w:val="0091698A"/>
    <w:rsid w:val="009241D0"/>
    <w:rsid w:val="0094488C"/>
    <w:rsid w:val="0094779E"/>
    <w:rsid w:val="00954E8E"/>
    <w:rsid w:val="009659AA"/>
    <w:rsid w:val="00966BB8"/>
    <w:rsid w:val="009729DC"/>
    <w:rsid w:val="009805FC"/>
    <w:rsid w:val="009A02B6"/>
    <w:rsid w:val="009B0E64"/>
    <w:rsid w:val="009B4735"/>
    <w:rsid w:val="009C4BF4"/>
    <w:rsid w:val="009E0E0E"/>
    <w:rsid w:val="009F0591"/>
    <w:rsid w:val="00A0272A"/>
    <w:rsid w:val="00A0670A"/>
    <w:rsid w:val="00A51162"/>
    <w:rsid w:val="00A6095B"/>
    <w:rsid w:val="00AB4746"/>
    <w:rsid w:val="00AB5DA4"/>
    <w:rsid w:val="00B2370C"/>
    <w:rsid w:val="00B3464E"/>
    <w:rsid w:val="00B34A5B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B035C"/>
    <w:rsid w:val="00BB4FB1"/>
    <w:rsid w:val="00BD092E"/>
    <w:rsid w:val="00BD1AE2"/>
    <w:rsid w:val="00C1067A"/>
    <w:rsid w:val="00C33BE6"/>
    <w:rsid w:val="00C44376"/>
    <w:rsid w:val="00C63046"/>
    <w:rsid w:val="00C86265"/>
    <w:rsid w:val="00C93E3E"/>
    <w:rsid w:val="00C96A66"/>
    <w:rsid w:val="00CA2078"/>
    <w:rsid w:val="00CA4F33"/>
    <w:rsid w:val="00CB0ECD"/>
    <w:rsid w:val="00CB3C0D"/>
    <w:rsid w:val="00CF2020"/>
    <w:rsid w:val="00D05004"/>
    <w:rsid w:val="00D12394"/>
    <w:rsid w:val="00D12786"/>
    <w:rsid w:val="00D30D02"/>
    <w:rsid w:val="00D316ED"/>
    <w:rsid w:val="00D46A4E"/>
    <w:rsid w:val="00D54A4E"/>
    <w:rsid w:val="00DA2F60"/>
    <w:rsid w:val="00DB5856"/>
    <w:rsid w:val="00DC2933"/>
    <w:rsid w:val="00DC4672"/>
    <w:rsid w:val="00E23C3A"/>
    <w:rsid w:val="00E4164B"/>
    <w:rsid w:val="00E45519"/>
    <w:rsid w:val="00E5229D"/>
    <w:rsid w:val="00E75251"/>
    <w:rsid w:val="00E81342"/>
    <w:rsid w:val="00EB3E56"/>
    <w:rsid w:val="00ED3D2C"/>
    <w:rsid w:val="00EF011D"/>
    <w:rsid w:val="00EF4265"/>
    <w:rsid w:val="00F53031"/>
    <w:rsid w:val="00F67132"/>
    <w:rsid w:val="00F734BD"/>
    <w:rsid w:val="00FB7482"/>
    <w:rsid w:val="00FD2CF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3</cp:revision>
  <cp:lastPrinted>2018-11-16T17:31:00Z</cp:lastPrinted>
  <dcterms:created xsi:type="dcterms:W3CDTF">2019-01-17T17:44:00Z</dcterms:created>
  <dcterms:modified xsi:type="dcterms:W3CDTF">2019-01-17T17:48:00Z</dcterms:modified>
</cp:coreProperties>
</file>