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Pr="00BB035C" w:rsidRDefault="00892DC5" w:rsidP="00892DC5">
      <w:pPr>
        <w:pStyle w:val="NoSpacing"/>
        <w:rPr>
          <w:b/>
        </w:rPr>
      </w:pPr>
      <w:r>
        <w:t>The T</w:t>
      </w:r>
      <w:r w:rsidR="00083A01">
        <w:t>abor City Council met in regular</w:t>
      </w:r>
      <w:r>
        <w:t xml:space="preserve"> session </w:t>
      </w:r>
      <w:r w:rsidR="00BB035C">
        <w:rPr>
          <w:b/>
        </w:rPr>
        <w:t>on October 10</w:t>
      </w:r>
      <w:r w:rsidR="00451A2E">
        <w:rPr>
          <w:b/>
        </w:rPr>
        <w:t>,</w:t>
      </w:r>
      <w:r w:rsidR="001706B7">
        <w:rPr>
          <w:b/>
        </w:rPr>
        <w:t xml:space="preserve"> </w:t>
      </w:r>
      <w:r w:rsidR="00451A2E">
        <w:rPr>
          <w:b/>
        </w:rPr>
        <w:t>2018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E23C3A">
        <w:t>at 6:0</w:t>
      </w:r>
      <w:r w:rsidR="001E27CF">
        <w:t>8</w:t>
      </w:r>
      <w:r w:rsidR="00C63046">
        <w:t xml:space="preserve"> p.m. for</w:t>
      </w:r>
      <w:r w:rsidR="00083A01">
        <w:t xml:space="preserve"> a regular</w:t>
      </w:r>
      <w:r w:rsidR="009A02B6">
        <w:t xml:space="preserve"> session</w:t>
      </w:r>
      <w:r w:rsidR="00C63046">
        <w:t>.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5C7379">
        <w:t xml:space="preserve"> Wake,</w:t>
      </w:r>
      <w:r w:rsidR="005313D8">
        <w:t xml:space="preserve"> </w:t>
      </w:r>
      <w:r w:rsidR="00E4164B">
        <w:t xml:space="preserve">Wirth, </w:t>
      </w:r>
      <w:r w:rsidR="00E23C3A">
        <w:t>Williams</w:t>
      </w:r>
      <w:r w:rsidR="005C7379">
        <w:t>, Silcock</w:t>
      </w:r>
      <w:r w:rsidR="00954E8E">
        <w:t xml:space="preserve"> </w:t>
      </w:r>
      <w:r w:rsidR="009A02B6">
        <w:t>and Bartho</w:t>
      </w:r>
      <w:r w:rsidR="005313D8">
        <w:t>lomew,</w:t>
      </w:r>
      <w:r w:rsidR="009A02B6">
        <w:t xml:space="preserve"> City Clerk Mary King-Bateman</w:t>
      </w:r>
      <w:r w:rsidR="00084EB9">
        <w:t>. City employees</w:t>
      </w:r>
      <w:r w:rsidR="00C63046">
        <w:t>,</w:t>
      </w:r>
      <w:r w:rsidR="00084EB9">
        <w:t xml:space="preserve"> Superi</w:t>
      </w:r>
      <w:r w:rsidR="002A1CEF">
        <w:t>ntendent Ted Hill</w:t>
      </w:r>
      <w:r w:rsidR="001706B7">
        <w:t>,</w:t>
      </w:r>
      <w:r w:rsidR="008C0AC8">
        <w:t xml:space="preserve"> </w:t>
      </w:r>
      <w:r w:rsidR="00954E8E" w:rsidRPr="00954E8E">
        <w:t>Assistant Superintendent Wes Hill</w:t>
      </w:r>
      <w:r w:rsidR="00E23C3A">
        <w:t>,</w:t>
      </w:r>
      <w:r w:rsidR="00E23C3A" w:rsidRPr="00954E8E">
        <w:t xml:space="preserve"> </w:t>
      </w:r>
      <w:r w:rsidR="00E23C3A">
        <w:t>Library</w:t>
      </w:r>
      <w:r w:rsidR="00084EB9">
        <w:t xml:space="preserve"> Director Da</w:t>
      </w:r>
      <w:r w:rsidR="005C7379">
        <w:t xml:space="preserve">wn Miller.   </w:t>
      </w:r>
    </w:p>
    <w:p w:rsidR="00892DC5" w:rsidRDefault="00892DC5" w:rsidP="00892DC5">
      <w:pPr>
        <w:pStyle w:val="NoSpacing"/>
      </w:pPr>
    </w:p>
    <w:p w:rsidR="00892DC5" w:rsidRDefault="00E4164B" w:rsidP="00892DC5">
      <w:pPr>
        <w:pStyle w:val="NoSpacing"/>
      </w:pPr>
      <w:r>
        <w:t>Consent A</w:t>
      </w:r>
      <w:r w:rsidR="00904DC4">
        <w:t>genda,</w:t>
      </w:r>
      <w:r w:rsidR="001E27CF">
        <w:t xml:space="preserve"> October</w:t>
      </w:r>
      <w:r w:rsidR="006769AF">
        <w:t xml:space="preserve"> Minutes, Financial, Agenda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5C7379">
        <w:t xml:space="preserve"> </w:t>
      </w:r>
      <w:r w:rsidR="001E27CF">
        <w:t>Williams</w:t>
      </w:r>
      <w:r w:rsidR="002A1CEF">
        <w:t>, seconded by</w:t>
      </w:r>
      <w:r w:rsidR="00D05004">
        <w:t xml:space="preserve"> </w:t>
      </w:r>
      <w:r w:rsidR="001E27CF">
        <w:t>Wirth</w:t>
      </w:r>
      <w:r w:rsidR="00D05004">
        <w:t xml:space="preserve">. All Ayes. </w:t>
      </w:r>
      <w:r w:rsidR="001B643A">
        <w:t xml:space="preserve"> Nays: 0. </w:t>
      </w:r>
    </w:p>
    <w:p w:rsidR="001E27CF" w:rsidRDefault="001E27CF" w:rsidP="00892DC5">
      <w:pPr>
        <w:pStyle w:val="NoSpacing"/>
      </w:pPr>
    </w:p>
    <w:p w:rsidR="001E27CF" w:rsidRDefault="001E27CF" w:rsidP="00892DC5">
      <w:pPr>
        <w:pStyle w:val="NoSpacing"/>
      </w:pPr>
      <w:r>
        <w:t>Randy Hickey was present to update the council on his</w:t>
      </w:r>
      <w:r w:rsidR="00602716">
        <w:t xml:space="preserve"> intention to build housing</w:t>
      </w:r>
      <w:r>
        <w:t xml:space="preserve"> in the Cit</w:t>
      </w:r>
      <w:r w:rsidR="00602716">
        <w:t>y of Tabor. He</w:t>
      </w:r>
      <w:r>
        <w:t xml:space="preserve"> will build the shared driveway for the area according to city guidelines. </w:t>
      </w:r>
    </w:p>
    <w:p w:rsidR="00892DC5" w:rsidRDefault="00892DC5" w:rsidP="00892DC5">
      <w:pPr>
        <w:pStyle w:val="NoSpacing"/>
      </w:pPr>
    </w:p>
    <w:p w:rsidR="00FD4217" w:rsidRDefault="00753541" w:rsidP="00892DC5">
      <w:pPr>
        <w:pStyle w:val="NoSpacing"/>
      </w:pPr>
      <w:r>
        <w:t>R-9</w:t>
      </w:r>
      <w:r w:rsidR="00FD4217">
        <w:t xml:space="preserve">-18 a Resolution </w:t>
      </w:r>
      <w:r>
        <w:t>on the City Street Financial Report for fiscal year 2018.</w:t>
      </w:r>
      <w:r w:rsidR="00FD4217">
        <w:t xml:space="preserve"> </w:t>
      </w:r>
      <w:r>
        <w:t>M</w:t>
      </w:r>
      <w:r w:rsidR="00FD4217">
        <w:t>otion to approve</w:t>
      </w:r>
      <w:r>
        <w:t xml:space="preserve"> and adopt</w:t>
      </w:r>
      <w:r w:rsidR="00FD4217">
        <w:t xml:space="preserve"> by Silcock, second by Bartholomew. Roll call vote Ayes: William</w:t>
      </w:r>
      <w:r>
        <w:t>s, Wirth, Silcock, Bartholomew, Wake</w:t>
      </w:r>
      <w:r w:rsidR="00FD4217">
        <w:t>. Nays: 0</w:t>
      </w:r>
    </w:p>
    <w:p w:rsidR="00FD4217" w:rsidRDefault="00FD4217" w:rsidP="00892DC5">
      <w:pPr>
        <w:pStyle w:val="NoSpacing"/>
      </w:pPr>
    </w:p>
    <w:p w:rsidR="001E19D0" w:rsidRDefault="00675942" w:rsidP="00043115">
      <w:pPr>
        <w:pStyle w:val="NoSpacing"/>
      </w:pPr>
      <w:r>
        <w:t>Blake Birkel, representative of JEO Engineering presented a master services contract for consideration and approval.</w:t>
      </w:r>
    </w:p>
    <w:p w:rsidR="00675942" w:rsidRDefault="00675942" w:rsidP="00043115">
      <w:pPr>
        <w:pStyle w:val="NoSpacing"/>
      </w:pPr>
      <w:r>
        <w:t>Council would like more time to review the contact, motion by Williams, second Bartholomew to table further action until the next regular meeting. All ayes.</w:t>
      </w:r>
    </w:p>
    <w:p w:rsidR="00675942" w:rsidRDefault="00675942" w:rsidP="00043115">
      <w:pPr>
        <w:pStyle w:val="NoSpacing"/>
      </w:pPr>
    </w:p>
    <w:p w:rsidR="00675942" w:rsidRDefault="00675942" w:rsidP="00043115">
      <w:pPr>
        <w:pStyle w:val="NoSpacing"/>
      </w:pPr>
      <w:r>
        <w:t>Scott Richardson was present to update</w:t>
      </w:r>
      <w:r w:rsidR="00EF011D">
        <w:t xml:space="preserve"> t</w:t>
      </w:r>
      <w:r w:rsidR="00DC2933">
        <w:t>he council on training and the revision process of the department by-laws</w:t>
      </w:r>
      <w:r w:rsidR="00EF011D">
        <w:t>.</w:t>
      </w:r>
    </w:p>
    <w:p w:rsidR="001E19D0" w:rsidRDefault="001E19D0" w:rsidP="00043115">
      <w:pPr>
        <w:pStyle w:val="NoSpacing"/>
      </w:pPr>
    </w:p>
    <w:p w:rsidR="00B3464E" w:rsidRDefault="00A0272A" w:rsidP="00043115">
      <w:pPr>
        <w:pStyle w:val="NoSpacing"/>
      </w:pPr>
      <w:r>
        <w:t xml:space="preserve">Meeting adjourned </w:t>
      </w:r>
      <w:r w:rsidR="00784BF3">
        <w:t>at 8</w:t>
      </w:r>
      <w:r w:rsidR="006769AF">
        <w:t>:</w:t>
      </w:r>
      <w:r w:rsidR="00EF011D">
        <w:t>32</w:t>
      </w:r>
      <w:r w:rsidR="004813DC">
        <w:t xml:space="preserve"> p.m., mot</w:t>
      </w:r>
      <w:r w:rsidR="001E6493">
        <w:t>io</w:t>
      </w:r>
      <w:r w:rsidR="009659AA">
        <w:t>n b</w:t>
      </w:r>
      <w:r w:rsidR="00EF011D">
        <w:t>y Wirth</w:t>
      </w:r>
      <w:r w:rsidR="00C96A66">
        <w:t xml:space="preserve">, second by </w:t>
      </w:r>
      <w:r w:rsidR="00EF011D">
        <w:t>Wake</w:t>
      </w:r>
      <w:r w:rsidR="002E7C8B"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EF011D">
        <w:t>10/10/2018</w:t>
      </w:r>
    </w:p>
    <w:p w:rsidR="00C1067A" w:rsidRDefault="00C1067A" w:rsidP="009C4BF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1107"/>
      </w:tblGrid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CLAIMS REPORT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VENDOR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AMOUNT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ALLIANZ LIFE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58.33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BAKER &amp; TAYLOR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209.12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BEACON ENTERPRISE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116.86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BHE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134.42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CITY OF GLENWOOD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2,000.00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CO BLUFFS WW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50.00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COUNSEL       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566.89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DELAVAN AUTO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5.98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EMS BILLING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1,098.88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FARM SUPPLY DEPOT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854.12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FIRST NATL BANK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116.19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FIRST NATL BANK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723.45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FREMONT CO LANDFILL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1,094.11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FREMONT CO RECORDER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27.00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GRAPE COMM HOSPITAL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179.80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HILL,TED      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619.95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HOLT GAS CO   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57.96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IOWA DPS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300.00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IOWA DNR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134.00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IPERS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2,963.37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JEO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1,493.74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KEYSTONE LAB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14.00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KING-BATEMAN,MARY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683.06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lastRenderedPageBreak/>
              <w:t>LINCOLN NATL LIFE INS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277.50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MAINSTAY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7,671.00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MENARDS       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160.47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MAE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20.00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MODERN WOODMAN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423.53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POST OFFICE   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141.75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RICHARDSON SANI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398.00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SCHROER AND ASSOC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2,100.00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SHEPHERD CONST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570.00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TABOR DEV CORP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105.71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UTILITY EQ CO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850.00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VANATTA,BRIAN 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29.10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WELLMARK      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6,594.75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WEX BANK                     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897.73</w:t>
            </w:r>
          </w:p>
        </w:tc>
      </w:tr>
      <w:tr w:rsidR="00D316ED" w:rsidRPr="00D316ED" w:rsidTr="00D316ED">
        <w:trPr>
          <w:trHeight w:val="300"/>
        </w:trPr>
        <w:tc>
          <w:tcPr>
            <w:tcW w:w="248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 xml:space="preserve">TOTAL </w:t>
            </w:r>
          </w:p>
        </w:tc>
        <w:tc>
          <w:tcPr>
            <w:tcW w:w="1000" w:type="dxa"/>
            <w:noWrap/>
            <w:hideMark/>
          </w:tcPr>
          <w:p w:rsidR="00D316ED" w:rsidRPr="00D316ED" w:rsidRDefault="00D316ED" w:rsidP="00D316ED">
            <w:pPr>
              <w:pStyle w:val="NoSpacing"/>
            </w:pPr>
            <w:r w:rsidRPr="00D316ED">
              <w:t>33,740.77</w:t>
            </w:r>
          </w:p>
        </w:tc>
      </w:tr>
    </w:tbl>
    <w:p w:rsidR="00D12786" w:rsidRDefault="00D12786" w:rsidP="009C4BF4">
      <w:pPr>
        <w:pStyle w:val="NoSpacing"/>
      </w:pPr>
      <w:bookmarkStart w:id="0" w:name="_GoBack"/>
      <w:bookmarkEnd w:id="0"/>
    </w:p>
    <w:sectPr w:rsidR="00D12786" w:rsidSect="00C1067A">
      <w:pgSz w:w="12240" w:h="15840" w:code="1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30" w:rsidRDefault="00B41630" w:rsidP="006167A6">
      <w:pPr>
        <w:spacing w:after="0" w:line="240" w:lineRule="auto"/>
      </w:pPr>
      <w:r>
        <w:separator/>
      </w:r>
    </w:p>
  </w:endnote>
  <w:end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30" w:rsidRDefault="00B41630" w:rsidP="006167A6">
      <w:pPr>
        <w:spacing w:after="0" w:line="240" w:lineRule="auto"/>
      </w:pPr>
      <w:r>
        <w:separator/>
      </w:r>
    </w:p>
  </w:footnote>
  <w:foot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7BCB"/>
    <w:rsid w:val="00043115"/>
    <w:rsid w:val="000479EE"/>
    <w:rsid w:val="00062182"/>
    <w:rsid w:val="000661C8"/>
    <w:rsid w:val="00083A01"/>
    <w:rsid w:val="00084EB9"/>
    <w:rsid w:val="000C2C54"/>
    <w:rsid w:val="000F481B"/>
    <w:rsid w:val="00103C69"/>
    <w:rsid w:val="00124DFF"/>
    <w:rsid w:val="00133800"/>
    <w:rsid w:val="00151E5C"/>
    <w:rsid w:val="00165392"/>
    <w:rsid w:val="001706B7"/>
    <w:rsid w:val="00176879"/>
    <w:rsid w:val="00194290"/>
    <w:rsid w:val="001B643A"/>
    <w:rsid w:val="001D2838"/>
    <w:rsid w:val="001E19D0"/>
    <w:rsid w:val="001E27CF"/>
    <w:rsid w:val="001E6493"/>
    <w:rsid w:val="002820BB"/>
    <w:rsid w:val="00293488"/>
    <w:rsid w:val="00296888"/>
    <w:rsid w:val="002A1CEF"/>
    <w:rsid w:val="002E7C8B"/>
    <w:rsid w:val="0030373F"/>
    <w:rsid w:val="00305DDC"/>
    <w:rsid w:val="00327EB5"/>
    <w:rsid w:val="00334486"/>
    <w:rsid w:val="003467FB"/>
    <w:rsid w:val="003859D3"/>
    <w:rsid w:val="00391349"/>
    <w:rsid w:val="003B06C6"/>
    <w:rsid w:val="003D20F9"/>
    <w:rsid w:val="00417F92"/>
    <w:rsid w:val="0043058C"/>
    <w:rsid w:val="00435DED"/>
    <w:rsid w:val="00441930"/>
    <w:rsid w:val="00451A2E"/>
    <w:rsid w:val="0047119F"/>
    <w:rsid w:val="004813DC"/>
    <w:rsid w:val="00481A55"/>
    <w:rsid w:val="004873D2"/>
    <w:rsid w:val="00491072"/>
    <w:rsid w:val="00501358"/>
    <w:rsid w:val="00521FD9"/>
    <w:rsid w:val="005257AB"/>
    <w:rsid w:val="00526839"/>
    <w:rsid w:val="005313D8"/>
    <w:rsid w:val="00542643"/>
    <w:rsid w:val="005455ED"/>
    <w:rsid w:val="005A5190"/>
    <w:rsid w:val="005C7379"/>
    <w:rsid w:val="005D1C00"/>
    <w:rsid w:val="005E4646"/>
    <w:rsid w:val="005F5B03"/>
    <w:rsid w:val="00602716"/>
    <w:rsid w:val="0061281A"/>
    <w:rsid w:val="006167A6"/>
    <w:rsid w:val="0066285B"/>
    <w:rsid w:val="00673D60"/>
    <w:rsid w:val="00675942"/>
    <w:rsid w:val="006769AF"/>
    <w:rsid w:val="006861A0"/>
    <w:rsid w:val="006943C9"/>
    <w:rsid w:val="006A6524"/>
    <w:rsid w:val="006B16DF"/>
    <w:rsid w:val="006B1C06"/>
    <w:rsid w:val="006C26A7"/>
    <w:rsid w:val="006E3A01"/>
    <w:rsid w:val="006E62F4"/>
    <w:rsid w:val="006F14E1"/>
    <w:rsid w:val="00703329"/>
    <w:rsid w:val="00730B21"/>
    <w:rsid w:val="007529D1"/>
    <w:rsid w:val="00753541"/>
    <w:rsid w:val="00784BF3"/>
    <w:rsid w:val="007A0F00"/>
    <w:rsid w:val="007A0F11"/>
    <w:rsid w:val="007C374F"/>
    <w:rsid w:val="007F2975"/>
    <w:rsid w:val="00803D64"/>
    <w:rsid w:val="0081184A"/>
    <w:rsid w:val="0083373F"/>
    <w:rsid w:val="008574AB"/>
    <w:rsid w:val="00892DC5"/>
    <w:rsid w:val="008C0AC8"/>
    <w:rsid w:val="00904DC4"/>
    <w:rsid w:val="0091698A"/>
    <w:rsid w:val="0094488C"/>
    <w:rsid w:val="0094779E"/>
    <w:rsid w:val="00954E8E"/>
    <w:rsid w:val="009659AA"/>
    <w:rsid w:val="00966BB8"/>
    <w:rsid w:val="009805FC"/>
    <w:rsid w:val="009A02B6"/>
    <w:rsid w:val="009C4BF4"/>
    <w:rsid w:val="009E0E0E"/>
    <w:rsid w:val="009F0591"/>
    <w:rsid w:val="00A0272A"/>
    <w:rsid w:val="00A0670A"/>
    <w:rsid w:val="00A51162"/>
    <w:rsid w:val="00A6095B"/>
    <w:rsid w:val="00AB5DA4"/>
    <w:rsid w:val="00B2370C"/>
    <w:rsid w:val="00B3464E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B035C"/>
    <w:rsid w:val="00BD092E"/>
    <w:rsid w:val="00BD1AE2"/>
    <w:rsid w:val="00C1067A"/>
    <w:rsid w:val="00C33BE6"/>
    <w:rsid w:val="00C44376"/>
    <w:rsid w:val="00C63046"/>
    <w:rsid w:val="00C93E3E"/>
    <w:rsid w:val="00C96A66"/>
    <w:rsid w:val="00CA2078"/>
    <w:rsid w:val="00CA4F33"/>
    <w:rsid w:val="00CB0ECD"/>
    <w:rsid w:val="00CB3C0D"/>
    <w:rsid w:val="00D05004"/>
    <w:rsid w:val="00D12394"/>
    <w:rsid w:val="00D12786"/>
    <w:rsid w:val="00D316ED"/>
    <w:rsid w:val="00D46A4E"/>
    <w:rsid w:val="00D54A4E"/>
    <w:rsid w:val="00DB5856"/>
    <w:rsid w:val="00DC2933"/>
    <w:rsid w:val="00DC4672"/>
    <w:rsid w:val="00E23C3A"/>
    <w:rsid w:val="00E4164B"/>
    <w:rsid w:val="00E45519"/>
    <w:rsid w:val="00E5229D"/>
    <w:rsid w:val="00E75251"/>
    <w:rsid w:val="00E81342"/>
    <w:rsid w:val="00EB3E56"/>
    <w:rsid w:val="00ED3D2C"/>
    <w:rsid w:val="00EF011D"/>
    <w:rsid w:val="00EF4265"/>
    <w:rsid w:val="00F53031"/>
    <w:rsid w:val="00F67132"/>
    <w:rsid w:val="00F734BD"/>
    <w:rsid w:val="00FD2CF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3</cp:revision>
  <cp:lastPrinted>2018-09-17T16:44:00Z</cp:lastPrinted>
  <dcterms:created xsi:type="dcterms:W3CDTF">2018-10-11T19:40:00Z</dcterms:created>
  <dcterms:modified xsi:type="dcterms:W3CDTF">2018-10-11T21:49:00Z</dcterms:modified>
</cp:coreProperties>
</file>